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D03" w:rsidRPr="00037D03" w:rsidRDefault="00037D03" w:rsidP="00037D03">
      <w:pPr>
        <w:pStyle w:val="OmniPage3"/>
        <w:ind w:right="105"/>
        <w:jc w:val="both"/>
        <w:rPr>
          <w:rFonts w:asciiTheme="minorHAnsi" w:hAnsiTheme="minorHAnsi" w:cstheme="minorHAnsi"/>
          <w:b/>
          <w:sz w:val="22"/>
          <w:lang w:val="fr-FR"/>
        </w:rPr>
      </w:pPr>
    </w:p>
    <w:p w:rsidR="00037D03" w:rsidRDefault="00037D03" w:rsidP="00037D03">
      <w:pPr>
        <w:jc w:val="both"/>
        <w:rPr>
          <w:rFonts w:asciiTheme="minorHAnsi" w:hAnsiTheme="minorHAnsi" w:cs="Calibri"/>
          <w:b/>
          <w:sz w:val="28"/>
          <w:u w:val="single"/>
        </w:rPr>
      </w:pPr>
      <w:r w:rsidRPr="00037D03">
        <w:rPr>
          <w:rFonts w:asciiTheme="minorHAnsi" w:hAnsiTheme="minorHAnsi" w:cs="Calibri"/>
          <w:b/>
          <w:sz w:val="28"/>
          <w:u w:val="single"/>
        </w:rPr>
        <w:t xml:space="preserve">OBJET : </w:t>
      </w:r>
      <w:r w:rsidR="00577686">
        <w:rPr>
          <w:rFonts w:asciiTheme="minorHAnsi" w:hAnsiTheme="minorHAnsi" w:cs="Calibri"/>
          <w:b/>
          <w:sz w:val="28"/>
          <w:u w:val="single"/>
        </w:rPr>
        <w:t>Budget général – Adoption de la nomenclature budgétaire et comptable M57 à partir du 1</w:t>
      </w:r>
      <w:r w:rsidR="00577686" w:rsidRPr="00577686">
        <w:rPr>
          <w:rFonts w:asciiTheme="minorHAnsi" w:hAnsiTheme="minorHAnsi" w:cs="Calibri"/>
          <w:b/>
          <w:sz w:val="28"/>
          <w:u w:val="single"/>
          <w:vertAlign w:val="superscript"/>
        </w:rPr>
        <w:t>er</w:t>
      </w:r>
      <w:r w:rsidR="00577686">
        <w:rPr>
          <w:rFonts w:asciiTheme="minorHAnsi" w:hAnsiTheme="minorHAnsi" w:cs="Calibri"/>
          <w:b/>
          <w:sz w:val="28"/>
          <w:u w:val="single"/>
        </w:rPr>
        <w:t xml:space="preserve"> janvier 2024</w:t>
      </w:r>
    </w:p>
    <w:p w:rsidR="00577686" w:rsidRDefault="00577686" w:rsidP="00037D03">
      <w:pPr>
        <w:jc w:val="both"/>
        <w:rPr>
          <w:rFonts w:asciiTheme="minorHAnsi" w:hAnsiTheme="minorHAnsi" w:cs="Calibri"/>
          <w:b/>
          <w:sz w:val="28"/>
          <w:u w:val="single"/>
        </w:rPr>
      </w:pPr>
    </w:p>
    <w:p w:rsidR="005770C8" w:rsidRPr="005770C8" w:rsidRDefault="005770C8" w:rsidP="005770C8">
      <w:pPr>
        <w:spacing w:before="120" w:after="120" w:line="240" w:lineRule="auto"/>
        <w:jc w:val="both"/>
        <w:rPr>
          <w:rFonts w:asciiTheme="minorHAnsi" w:eastAsia="Times New Roman" w:hAnsiTheme="minorHAnsi"/>
          <w:szCs w:val="24"/>
          <w:lang w:eastAsia="fr-FR"/>
        </w:rPr>
      </w:pPr>
      <w:r w:rsidRPr="005770C8">
        <w:rPr>
          <w:rFonts w:asciiTheme="minorHAnsi" w:eastAsia="Times New Roman" w:hAnsiTheme="minorHAnsi"/>
          <w:szCs w:val="24"/>
          <w:lang w:eastAsia="fr-FR"/>
        </w:rPr>
        <w:t xml:space="preserve">Vu l’article </w:t>
      </w:r>
      <w:hyperlink r:id="rId5" w:history="1">
        <w:r w:rsidRPr="005770C8">
          <w:rPr>
            <w:rFonts w:asciiTheme="minorHAnsi" w:eastAsia="Times New Roman" w:hAnsiTheme="minorHAnsi"/>
            <w:color w:val="0563C1" w:themeColor="hyperlink"/>
            <w:szCs w:val="24"/>
            <w:u w:val="single"/>
            <w:lang w:eastAsia="fr-FR"/>
          </w:rPr>
          <w:t>L.2121-29</w:t>
        </w:r>
      </w:hyperlink>
      <w:r w:rsidRPr="005770C8">
        <w:rPr>
          <w:rFonts w:asciiTheme="minorHAnsi" w:eastAsia="Times New Roman" w:hAnsiTheme="minorHAnsi"/>
          <w:szCs w:val="24"/>
          <w:lang w:eastAsia="fr-FR"/>
        </w:rPr>
        <w:t xml:space="preserve"> du Code Général des Collectivités Territoriales,</w:t>
      </w:r>
    </w:p>
    <w:p w:rsidR="005770C8" w:rsidRPr="005770C8" w:rsidRDefault="005770C8" w:rsidP="005770C8">
      <w:pPr>
        <w:spacing w:before="120" w:after="120" w:line="240" w:lineRule="auto"/>
        <w:jc w:val="both"/>
        <w:rPr>
          <w:rFonts w:asciiTheme="minorHAnsi" w:eastAsia="Times New Roman" w:hAnsiTheme="minorHAnsi"/>
          <w:szCs w:val="24"/>
          <w:lang w:eastAsia="fr-FR"/>
        </w:rPr>
      </w:pPr>
      <w:r w:rsidRPr="005770C8">
        <w:rPr>
          <w:rFonts w:asciiTheme="minorHAnsi" w:eastAsia="Times New Roman" w:hAnsiTheme="minorHAnsi"/>
          <w:szCs w:val="24"/>
          <w:lang w:eastAsia="fr-FR"/>
        </w:rPr>
        <w:t xml:space="preserve">Vu l’article </w:t>
      </w:r>
      <w:hyperlink r:id="rId6" w:history="1">
        <w:r w:rsidRPr="005770C8">
          <w:rPr>
            <w:rFonts w:asciiTheme="minorHAnsi" w:eastAsia="Times New Roman" w:hAnsiTheme="minorHAnsi"/>
            <w:color w:val="0563C1" w:themeColor="hyperlink"/>
            <w:szCs w:val="24"/>
            <w:u w:val="single"/>
            <w:lang w:eastAsia="fr-FR"/>
          </w:rPr>
          <w:t>242 de la loi n° 2018-1317</w:t>
        </w:r>
      </w:hyperlink>
      <w:r w:rsidRPr="005770C8">
        <w:rPr>
          <w:rFonts w:asciiTheme="minorHAnsi" w:eastAsia="Times New Roman" w:hAnsiTheme="minorHAnsi"/>
          <w:szCs w:val="24"/>
          <w:lang w:eastAsia="fr-FR"/>
        </w:rPr>
        <w:t xml:space="preserve"> du 28 décembre 2018 de finances pour 2019,</w:t>
      </w:r>
    </w:p>
    <w:p w:rsidR="005770C8" w:rsidRPr="005770C8" w:rsidRDefault="005770C8" w:rsidP="005770C8">
      <w:pPr>
        <w:spacing w:before="120" w:after="120" w:line="240" w:lineRule="auto"/>
        <w:jc w:val="both"/>
        <w:rPr>
          <w:rFonts w:asciiTheme="minorHAnsi" w:eastAsia="Times New Roman" w:hAnsiTheme="minorHAnsi"/>
          <w:szCs w:val="24"/>
          <w:lang w:eastAsia="fr-FR"/>
        </w:rPr>
      </w:pPr>
      <w:r w:rsidRPr="005770C8">
        <w:rPr>
          <w:rFonts w:asciiTheme="minorHAnsi" w:eastAsia="Times New Roman" w:hAnsiTheme="minorHAnsi"/>
          <w:szCs w:val="24"/>
          <w:lang w:eastAsia="fr-FR"/>
        </w:rPr>
        <w:t xml:space="preserve">Vu </w:t>
      </w:r>
      <w:hyperlink r:id="rId7" w:history="1">
        <w:r w:rsidRPr="005770C8">
          <w:rPr>
            <w:rFonts w:asciiTheme="minorHAnsi" w:eastAsia="Times New Roman" w:hAnsiTheme="minorHAnsi"/>
            <w:color w:val="0563C1" w:themeColor="hyperlink"/>
            <w:szCs w:val="24"/>
            <w:u w:val="single"/>
            <w:lang w:eastAsia="fr-FR"/>
          </w:rPr>
          <w:t>l’arrêté interministériel du ministre de la cohésion des territoires et des relations avec les collectivités territoriales et du ministre de l’action et des comptes publics du 20 décembre 2018</w:t>
        </w:r>
      </w:hyperlink>
      <w:r w:rsidRPr="005770C8">
        <w:rPr>
          <w:rFonts w:asciiTheme="minorHAnsi" w:eastAsia="Times New Roman" w:hAnsiTheme="minorHAnsi"/>
          <w:szCs w:val="24"/>
          <w:lang w:eastAsia="fr-FR"/>
        </w:rPr>
        <w:t xml:space="preserve"> relatif à l’instruction budgétaire et comptable M57 applicable aux collectivités territoriales uniques,</w:t>
      </w:r>
    </w:p>
    <w:p w:rsidR="005770C8" w:rsidRPr="005770C8" w:rsidRDefault="005770C8" w:rsidP="005770C8">
      <w:pPr>
        <w:spacing w:before="120" w:after="120" w:line="240" w:lineRule="auto"/>
        <w:jc w:val="both"/>
        <w:rPr>
          <w:rFonts w:asciiTheme="minorHAnsi" w:eastAsia="Times New Roman" w:hAnsiTheme="minorHAnsi"/>
          <w:szCs w:val="24"/>
          <w:lang w:eastAsia="fr-FR"/>
        </w:rPr>
      </w:pPr>
      <w:r w:rsidRPr="005770C8">
        <w:rPr>
          <w:rFonts w:asciiTheme="minorHAnsi" w:eastAsia="Times New Roman" w:hAnsiTheme="minorHAnsi"/>
          <w:szCs w:val="24"/>
          <w:lang w:eastAsia="fr-FR"/>
        </w:rPr>
        <w:t xml:space="preserve">Vu l’avis favorable du comptable public du </w:t>
      </w:r>
      <w:r>
        <w:rPr>
          <w:rFonts w:asciiTheme="minorHAnsi" w:eastAsia="Times New Roman" w:hAnsiTheme="minorHAnsi"/>
          <w:szCs w:val="24"/>
          <w:lang w:eastAsia="fr-FR"/>
        </w:rPr>
        <w:t>PETR Vallée de la Dordogne Corrézienne</w:t>
      </w:r>
      <w:r w:rsidRPr="005770C8">
        <w:rPr>
          <w:rFonts w:asciiTheme="minorHAnsi" w:eastAsia="Times New Roman" w:hAnsiTheme="minorHAnsi"/>
          <w:szCs w:val="24"/>
          <w:lang w:eastAsia="fr-FR"/>
        </w:rPr>
        <w:t xml:space="preserve"> en date du </w:t>
      </w:r>
      <w:r w:rsidR="007F34B6" w:rsidRPr="007F34B6">
        <w:rPr>
          <w:rFonts w:asciiTheme="minorHAnsi" w:eastAsia="Times New Roman" w:hAnsiTheme="minorHAnsi"/>
          <w:szCs w:val="24"/>
          <w:lang w:eastAsia="fr-FR"/>
        </w:rPr>
        <w:t>20/09/2023</w:t>
      </w:r>
      <w:r w:rsidRPr="005770C8">
        <w:rPr>
          <w:rFonts w:asciiTheme="minorHAnsi" w:eastAsia="Times New Roman" w:hAnsiTheme="minorHAnsi"/>
          <w:szCs w:val="24"/>
          <w:lang w:eastAsia="fr-FR"/>
        </w:rPr>
        <w:t> ;</w:t>
      </w:r>
    </w:p>
    <w:p w:rsidR="005770C8" w:rsidRPr="005770C8" w:rsidRDefault="005770C8" w:rsidP="005770C8">
      <w:pPr>
        <w:spacing w:before="120" w:after="120" w:line="240" w:lineRule="auto"/>
        <w:jc w:val="both"/>
        <w:rPr>
          <w:rFonts w:asciiTheme="minorHAnsi" w:eastAsia="Times New Roman" w:hAnsiTheme="minorHAnsi"/>
          <w:szCs w:val="24"/>
          <w:lang w:eastAsia="fr-FR"/>
        </w:rPr>
      </w:pPr>
      <w:r w:rsidRPr="005770C8">
        <w:rPr>
          <w:rFonts w:asciiTheme="minorHAnsi" w:eastAsia="Times New Roman" w:hAnsiTheme="minorHAnsi"/>
          <w:szCs w:val="24"/>
          <w:lang w:eastAsia="fr-FR"/>
        </w:rPr>
        <w:t>La nomenclature budgétaire et comptable M57 est l’instruction la plus récente, du secteur public local. Instauré au 1er janvier 2015 dans le cadre de la création des métropoles, le référentiel M57 présente la particularité de pouvoir être appliqué par toutes les catégories de collectivités territoriales (régions, départements, établissements publics de coopération intercommunale et communes). Il reprend les éléments communs aux cadres communal, départemental et régional existants et, lorsque des divergences apparaissent, retient plus spécialement les dispositions applicables aux régions.</w:t>
      </w:r>
    </w:p>
    <w:p w:rsidR="005770C8" w:rsidRPr="005770C8" w:rsidRDefault="005770C8" w:rsidP="005770C8">
      <w:pPr>
        <w:spacing w:before="120" w:after="120" w:line="240" w:lineRule="auto"/>
        <w:jc w:val="both"/>
        <w:rPr>
          <w:rFonts w:asciiTheme="minorHAnsi" w:eastAsia="Times New Roman" w:hAnsiTheme="minorHAnsi"/>
          <w:szCs w:val="24"/>
          <w:lang w:eastAsia="fr-FR"/>
        </w:rPr>
      </w:pPr>
      <w:r w:rsidRPr="005770C8">
        <w:rPr>
          <w:rFonts w:asciiTheme="minorHAnsi" w:eastAsia="Times New Roman" w:hAnsiTheme="minorHAnsi"/>
          <w:szCs w:val="24"/>
          <w:lang w:eastAsia="fr-FR"/>
        </w:rPr>
        <w:t>Le référentiel M57 étend à toutes les collectivités les règles budgétaires assouplies dont bénéficient déjà les régions offrant une plus grande marge de manœuvre aux gestionnaires.</w:t>
      </w:r>
    </w:p>
    <w:p w:rsidR="005770C8" w:rsidRPr="005770C8" w:rsidRDefault="005770C8" w:rsidP="005770C8">
      <w:pPr>
        <w:spacing w:before="120" w:after="120" w:line="240" w:lineRule="auto"/>
        <w:jc w:val="both"/>
        <w:rPr>
          <w:rFonts w:asciiTheme="minorHAnsi" w:eastAsia="Times New Roman" w:hAnsiTheme="minorHAnsi"/>
          <w:szCs w:val="24"/>
          <w:lang w:eastAsia="fr-FR"/>
        </w:rPr>
      </w:pPr>
      <w:r w:rsidRPr="005770C8">
        <w:rPr>
          <w:rFonts w:asciiTheme="minorHAnsi" w:eastAsia="Times New Roman" w:hAnsiTheme="minorHAnsi"/>
          <w:szCs w:val="24"/>
          <w:lang w:eastAsia="fr-FR"/>
        </w:rPr>
        <w:t>Ainsi :</w:t>
      </w:r>
    </w:p>
    <w:p w:rsidR="005770C8" w:rsidRPr="005770C8" w:rsidRDefault="005770C8" w:rsidP="005770C8">
      <w:pPr>
        <w:numPr>
          <w:ilvl w:val="0"/>
          <w:numId w:val="17"/>
        </w:numPr>
        <w:spacing w:before="120" w:after="120" w:line="240" w:lineRule="auto"/>
        <w:jc w:val="both"/>
        <w:rPr>
          <w:rFonts w:asciiTheme="minorHAnsi" w:eastAsia="Times New Roman" w:hAnsiTheme="minorHAnsi"/>
          <w:szCs w:val="24"/>
          <w:lang w:eastAsia="fr-FR"/>
        </w:rPr>
      </w:pPr>
      <w:r w:rsidRPr="005770C8">
        <w:rPr>
          <w:rFonts w:asciiTheme="minorHAnsi" w:eastAsia="Times New Roman" w:hAnsiTheme="minorHAnsi"/>
          <w:b/>
          <w:szCs w:val="24"/>
          <w:lang w:eastAsia="fr-FR"/>
        </w:rPr>
        <w:t>En matière de gestion pluriannuelle des crédits :</w:t>
      </w:r>
      <w:r w:rsidRPr="005770C8">
        <w:rPr>
          <w:rFonts w:asciiTheme="minorHAnsi" w:eastAsia="Times New Roman" w:hAnsiTheme="minorHAnsi"/>
          <w:szCs w:val="24"/>
          <w:lang w:eastAsia="fr-FR"/>
        </w:rPr>
        <w:t xml:space="preserve"> définition des autorisations de programme et des autorisations d’engagement, adoption d'un règlement budgétaire et financier pour la durée du mandat, vote d'autorisations de programme et d'autorisations d’engagement lors de l’adoption du budget, présentation du bilan de la gestion pluriannuelle lors du vote du compte administratif ou du compte financier unique (CFU) ; </w:t>
      </w:r>
    </w:p>
    <w:p w:rsidR="005770C8" w:rsidRPr="005770C8" w:rsidRDefault="005770C8" w:rsidP="005770C8">
      <w:pPr>
        <w:numPr>
          <w:ilvl w:val="0"/>
          <w:numId w:val="17"/>
        </w:numPr>
        <w:spacing w:before="120" w:after="120" w:line="240" w:lineRule="auto"/>
        <w:jc w:val="both"/>
        <w:rPr>
          <w:rFonts w:asciiTheme="minorHAnsi" w:eastAsia="Times New Roman" w:hAnsiTheme="minorHAnsi"/>
          <w:szCs w:val="24"/>
          <w:lang w:eastAsia="fr-FR"/>
        </w:rPr>
      </w:pPr>
      <w:r w:rsidRPr="005770C8">
        <w:rPr>
          <w:rFonts w:asciiTheme="minorHAnsi" w:eastAsia="Times New Roman" w:hAnsiTheme="minorHAnsi"/>
          <w:b/>
          <w:szCs w:val="24"/>
          <w:lang w:eastAsia="fr-FR"/>
        </w:rPr>
        <w:t xml:space="preserve">En matière de fongibilité des crédits : </w:t>
      </w:r>
      <w:r w:rsidRPr="005770C8">
        <w:rPr>
          <w:rFonts w:asciiTheme="minorHAnsi" w:eastAsia="Times New Roman" w:hAnsiTheme="minorHAnsi"/>
          <w:szCs w:val="24"/>
          <w:lang w:eastAsia="fr-FR"/>
        </w:rPr>
        <w:t xml:space="preserve">faculté pour l’organe délibérant de déléguer à l’exécutif la possibilité de procéder à des mouvements de crédits entre chapitres (dans la limite de 7,5 % des dépenses réelles de chacune des sections, et à l’exclusion des crédits relatifs aux dépenses de personnel) ; </w:t>
      </w:r>
    </w:p>
    <w:p w:rsidR="005770C8" w:rsidRPr="005770C8" w:rsidRDefault="005770C8" w:rsidP="005770C8">
      <w:pPr>
        <w:numPr>
          <w:ilvl w:val="0"/>
          <w:numId w:val="17"/>
        </w:numPr>
        <w:spacing w:before="120" w:after="120" w:line="240" w:lineRule="auto"/>
        <w:jc w:val="both"/>
        <w:rPr>
          <w:rFonts w:asciiTheme="minorHAnsi" w:eastAsia="Times New Roman" w:hAnsiTheme="minorHAnsi"/>
          <w:szCs w:val="24"/>
          <w:lang w:eastAsia="fr-FR"/>
        </w:rPr>
      </w:pPr>
      <w:r w:rsidRPr="005770C8">
        <w:rPr>
          <w:rFonts w:asciiTheme="minorHAnsi" w:eastAsia="Times New Roman" w:hAnsiTheme="minorHAnsi"/>
          <w:b/>
          <w:szCs w:val="24"/>
          <w:lang w:eastAsia="fr-FR"/>
        </w:rPr>
        <w:t xml:space="preserve">En matière de gestion des crédits pour dépenses imprévues : </w:t>
      </w:r>
      <w:r w:rsidRPr="005770C8">
        <w:rPr>
          <w:rFonts w:asciiTheme="minorHAnsi" w:eastAsia="Times New Roman" w:hAnsiTheme="minorHAnsi"/>
          <w:szCs w:val="24"/>
          <w:lang w:eastAsia="fr-FR"/>
        </w:rPr>
        <w:t>vote par l’organe délibérant d’autorisations de programme et d’autorisations d’engagement de dépenses imprévues dans la limite de 2 % des dépenses réelles de chacune des sections.</w:t>
      </w:r>
    </w:p>
    <w:p w:rsidR="005770C8" w:rsidRPr="005770C8" w:rsidRDefault="005770C8" w:rsidP="005770C8">
      <w:pPr>
        <w:spacing w:before="120" w:after="120" w:line="240" w:lineRule="auto"/>
        <w:jc w:val="both"/>
        <w:rPr>
          <w:rFonts w:asciiTheme="minorHAnsi" w:eastAsia="Times New Roman" w:hAnsiTheme="minorHAnsi"/>
          <w:szCs w:val="24"/>
          <w:lang w:eastAsia="fr-FR"/>
        </w:rPr>
      </w:pPr>
      <w:r w:rsidRPr="005770C8">
        <w:rPr>
          <w:rFonts w:asciiTheme="minorHAnsi" w:eastAsia="Times New Roman" w:hAnsiTheme="minorHAnsi"/>
          <w:szCs w:val="24"/>
          <w:lang w:eastAsia="fr-FR"/>
        </w:rPr>
        <w:t xml:space="preserve">Le périmètre de cette nouvelle norme comptable sera celui des budgets gérés selon la M14. Le </w:t>
      </w:r>
      <w:r>
        <w:rPr>
          <w:rFonts w:asciiTheme="minorHAnsi" w:eastAsia="Times New Roman" w:hAnsiTheme="minorHAnsi"/>
          <w:szCs w:val="24"/>
          <w:lang w:eastAsia="fr-FR"/>
        </w:rPr>
        <w:t>PETR Vallée de la Dordogne Corrézienne est ainsi concerné.</w:t>
      </w:r>
    </w:p>
    <w:p w:rsidR="005770C8" w:rsidRPr="005770C8" w:rsidRDefault="005770C8" w:rsidP="005770C8">
      <w:pPr>
        <w:spacing w:before="120" w:after="120" w:line="240" w:lineRule="auto"/>
        <w:jc w:val="both"/>
        <w:rPr>
          <w:rFonts w:asciiTheme="minorHAnsi" w:eastAsia="Times New Roman" w:hAnsiTheme="minorHAnsi"/>
          <w:szCs w:val="24"/>
          <w:lang w:eastAsia="fr-FR"/>
        </w:rPr>
      </w:pPr>
      <w:r w:rsidRPr="005770C8">
        <w:rPr>
          <w:rFonts w:asciiTheme="minorHAnsi" w:eastAsia="Times New Roman" w:hAnsiTheme="minorHAnsi"/>
          <w:szCs w:val="24"/>
          <w:lang w:eastAsia="fr-FR"/>
        </w:rPr>
        <w:t>Une généralisation de la M57 à toutes les catégories de collectivités locales est programmée au 1</w:t>
      </w:r>
      <w:r w:rsidRPr="005770C8">
        <w:rPr>
          <w:rFonts w:asciiTheme="minorHAnsi" w:eastAsia="Times New Roman" w:hAnsiTheme="minorHAnsi"/>
          <w:szCs w:val="24"/>
          <w:vertAlign w:val="superscript"/>
          <w:lang w:eastAsia="fr-FR"/>
        </w:rPr>
        <w:t>er</w:t>
      </w:r>
      <w:r w:rsidRPr="005770C8">
        <w:rPr>
          <w:rFonts w:asciiTheme="minorHAnsi" w:eastAsia="Times New Roman" w:hAnsiTheme="minorHAnsi"/>
          <w:szCs w:val="24"/>
          <w:lang w:eastAsia="fr-FR"/>
        </w:rPr>
        <w:t> janvier 2024.</w:t>
      </w:r>
    </w:p>
    <w:p w:rsidR="005770C8" w:rsidRPr="005770C8" w:rsidRDefault="005770C8" w:rsidP="005770C8">
      <w:pPr>
        <w:spacing w:before="120" w:after="120" w:line="240" w:lineRule="auto"/>
        <w:jc w:val="both"/>
        <w:rPr>
          <w:rFonts w:asciiTheme="minorHAnsi" w:eastAsia="Times New Roman" w:hAnsiTheme="minorHAnsi"/>
          <w:szCs w:val="24"/>
          <w:lang w:eastAsia="fr-FR"/>
        </w:rPr>
      </w:pPr>
      <w:r w:rsidRPr="005770C8">
        <w:rPr>
          <w:rFonts w:asciiTheme="minorHAnsi" w:eastAsia="Times New Roman" w:hAnsiTheme="minorHAnsi"/>
          <w:szCs w:val="24"/>
          <w:lang w:eastAsia="fr-FR"/>
        </w:rPr>
        <w:t>Pour information, cette modification de nomenclature comptable entraîne automatiquement un changement de maquette budgétaire. De ce fait, pour le budget primitif 2024, la colonne BP n-1 ne sera pas renseignée car appartenant à une autre nomenclature comptable.</w:t>
      </w:r>
    </w:p>
    <w:p w:rsidR="005770C8" w:rsidRPr="005770C8" w:rsidRDefault="005770C8" w:rsidP="005770C8">
      <w:pPr>
        <w:spacing w:before="120" w:after="120" w:line="240" w:lineRule="auto"/>
        <w:jc w:val="both"/>
        <w:rPr>
          <w:rFonts w:asciiTheme="minorHAnsi" w:eastAsia="Times New Roman" w:hAnsiTheme="minorHAnsi"/>
          <w:szCs w:val="24"/>
          <w:lang w:eastAsia="fr-FR"/>
        </w:rPr>
      </w:pPr>
      <w:r w:rsidRPr="005770C8">
        <w:rPr>
          <w:rFonts w:asciiTheme="minorHAnsi" w:eastAsia="Times New Roman" w:hAnsiTheme="minorHAnsi"/>
          <w:szCs w:val="24"/>
          <w:lang w:eastAsia="fr-FR"/>
        </w:rPr>
        <w:t xml:space="preserve">En conséquence, Monsieur le Président propose aux membres du Comité syndical d’approuver le passage </w:t>
      </w:r>
      <w:r>
        <w:rPr>
          <w:rFonts w:asciiTheme="minorHAnsi" w:eastAsia="Times New Roman" w:hAnsiTheme="minorHAnsi"/>
          <w:szCs w:val="24"/>
          <w:lang w:eastAsia="fr-FR"/>
        </w:rPr>
        <w:t xml:space="preserve">du Budget Général </w:t>
      </w:r>
      <w:r w:rsidRPr="005770C8">
        <w:rPr>
          <w:rFonts w:asciiTheme="minorHAnsi" w:eastAsia="Times New Roman" w:hAnsiTheme="minorHAnsi"/>
          <w:szCs w:val="24"/>
          <w:lang w:eastAsia="fr-FR"/>
        </w:rPr>
        <w:t>à la nomenclature M57 à compter du budget primitif 2024.</w:t>
      </w:r>
    </w:p>
    <w:p w:rsidR="00F32431" w:rsidRDefault="00F32431" w:rsidP="001454A6">
      <w:pPr>
        <w:rPr>
          <w:rFonts w:cstheme="minorHAnsi"/>
        </w:rPr>
      </w:pPr>
    </w:p>
    <w:p w:rsidR="00923930" w:rsidRDefault="00923930" w:rsidP="00923930">
      <w:pPr>
        <w:ind w:hanging="709"/>
        <w:rPr>
          <w:rFonts w:cstheme="minorHAnsi"/>
        </w:rPr>
      </w:pPr>
    </w:p>
    <w:p w:rsidR="005770C8" w:rsidRDefault="005770C8" w:rsidP="00923930">
      <w:pPr>
        <w:ind w:hanging="709"/>
        <w:rPr>
          <w:rFonts w:cstheme="minorHAnsi"/>
        </w:rPr>
      </w:pPr>
    </w:p>
    <w:p w:rsidR="001454A6" w:rsidRPr="0009249C" w:rsidRDefault="001454A6" w:rsidP="001454A6">
      <w:pPr>
        <w:rPr>
          <w:rFonts w:cstheme="minorHAnsi"/>
          <w:b/>
        </w:rPr>
      </w:pPr>
      <w:r>
        <w:rPr>
          <w:rFonts w:cstheme="minorHAnsi"/>
        </w:rPr>
        <w:t xml:space="preserve">Après avoir délibéré, le </w:t>
      </w:r>
      <w:r w:rsidRPr="00E73BCD">
        <w:rPr>
          <w:rFonts w:cstheme="minorHAnsi"/>
        </w:rPr>
        <w:t>Comité syndical </w:t>
      </w:r>
      <w:r w:rsidRPr="0009249C">
        <w:rPr>
          <w:rFonts w:cstheme="minorHAnsi"/>
          <w:b/>
        </w:rPr>
        <w:t>DECIDE :</w:t>
      </w:r>
    </w:p>
    <w:p w:rsidR="001454A6" w:rsidRPr="00E73BCD" w:rsidRDefault="001454A6" w:rsidP="001454A6">
      <w:pPr>
        <w:pStyle w:val="Retraitcorpsdetexte"/>
        <w:spacing w:after="0" w:line="240" w:lineRule="auto"/>
        <w:ind w:left="0"/>
        <w:jc w:val="both"/>
        <w:rPr>
          <w:rFonts w:asciiTheme="minorHAnsi" w:hAnsiTheme="minorHAnsi" w:cstheme="minorHAnsi"/>
          <w:b/>
        </w:rPr>
      </w:pPr>
    </w:p>
    <w:p w:rsidR="005770C8" w:rsidRPr="005770C8" w:rsidRDefault="008F0032" w:rsidP="005770C8">
      <w:pPr>
        <w:pStyle w:val="Retraitcorpsdetexte"/>
        <w:numPr>
          <w:ilvl w:val="0"/>
          <w:numId w:val="14"/>
        </w:numPr>
        <w:spacing w:after="0" w:line="240" w:lineRule="auto"/>
        <w:jc w:val="both"/>
        <w:rPr>
          <w:rFonts w:asciiTheme="minorHAnsi" w:hAnsiTheme="minorHAnsi" w:cstheme="minorHAnsi"/>
          <w:b/>
          <w:lang w:eastAsia="fr-FR"/>
        </w:rPr>
      </w:pPr>
      <w:r w:rsidRPr="005770C8">
        <w:rPr>
          <w:rFonts w:asciiTheme="minorHAnsi" w:hAnsiTheme="minorHAnsi" w:cstheme="minorHAnsi"/>
          <w:b/>
          <w:lang w:eastAsia="fr-FR"/>
        </w:rPr>
        <w:t xml:space="preserve">D’APPROUVER </w:t>
      </w:r>
      <w:r w:rsidR="005770C8" w:rsidRPr="005770C8">
        <w:rPr>
          <w:rFonts w:asciiTheme="minorHAnsi" w:hAnsiTheme="minorHAnsi" w:cstheme="minorHAnsi"/>
          <w:b/>
          <w:lang w:eastAsia="fr-FR"/>
        </w:rPr>
        <w:t>le p</w:t>
      </w:r>
      <w:r w:rsidR="005770C8">
        <w:rPr>
          <w:rFonts w:asciiTheme="minorHAnsi" w:hAnsiTheme="minorHAnsi" w:cstheme="minorHAnsi"/>
          <w:b/>
          <w:lang w:eastAsia="fr-FR"/>
        </w:rPr>
        <w:t>assage du Budget Général</w:t>
      </w:r>
      <w:r w:rsidR="005770C8" w:rsidRPr="005770C8">
        <w:rPr>
          <w:rFonts w:asciiTheme="minorHAnsi" w:hAnsiTheme="minorHAnsi" w:cstheme="minorHAnsi"/>
          <w:b/>
          <w:lang w:eastAsia="fr-FR"/>
        </w:rPr>
        <w:t xml:space="preserve"> à la nomenclature M57 à compter du budget primitif 2024.</w:t>
      </w:r>
    </w:p>
    <w:p w:rsidR="00F32431" w:rsidRPr="005770C8" w:rsidRDefault="00F32431" w:rsidP="005770C8">
      <w:pPr>
        <w:pStyle w:val="Paragraphedeliste"/>
        <w:numPr>
          <w:ilvl w:val="0"/>
          <w:numId w:val="0"/>
        </w:numPr>
        <w:ind w:left="720"/>
        <w:rPr>
          <w:rFonts w:cstheme="minorHAnsi"/>
        </w:rPr>
      </w:pPr>
    </w:p>
    <w:p w:rsidR="0029383B" w:rsidRDefault="0029383B" w:rsidP="0029383B">
      <w:pPr>
        <w:pStyle w:val="Retraitcorpsdetexte"/>
        <w:numPr>
          <w:ilvl w:val="0"/>
          <w:numId w:val="14"/>
        </w:numPr>
        <w:spacing w:after="0" w:line="240" w:lineRule="auto"/>
        <w:jc w:val="both"/>
        <w:rPr>
          <w:rFonts w:asciiTheme="minorHAnsi" w:hAnsiTheme="minorHAnsi" w:cstheme="minorHAnsi"/>
        </w:rPr>
      </w:pPr>
      <w:r>
        <w:rPr>
          <w:rFonts w:asciiTheme="minorHAnsi" w:hAnsiTheme="minorHAnsi" w:cstheme="minorHAnsi"/>
          <w:b/>
          <w:lang w:eastAsia="fr-FR"/>
        </w:rPr>
        <w:t xml:space="preserve">D’AUTORISER </w:t>
      </w:r>
      <w:r w:rsidRPr="00F73B70">
        <w:rPr>
          <w:rFonts w:asciiTheme="minorHAnsi" w:hAnsiTheme="minorHAnsi" w:cstheme="minorHAnsi"/>
          <w:lang w:eastAsia="fr-FR"/>
        </w:rPr>
        <w:t>le Président à procéder, à compter du 1er janvier 2024, à des mouvements de crédits de chapitre à chapitre, à l'exclusion des crédits relatifs aux dépenses de personnel, et ce, dans la limite de 7,5% des dépenses réelles de chacune des sections.</w:t>
      </w:r>
    </w:p>
    <w:p w:rsidR="0029383B" w:rsidRDefault="0029383B" w:rsidP="0029383B">
      <w:pPr>
        <w:pStyle w:val="Paragraphedeliste"/>
        <w:numPr>
          <w:ilvl w:val="0"/>
          <w:numId w:val="0"/>
        </w:numPr>
        <w:ind w:left="360"/>
        <w:rPr>
          <w:rFonts w:asciiTheme="minorHAnsi" w:hAnsiTheme="minorHAnsi" w:cstheme="minorHAnsi"/>
          <w:b/>
        </w:rPr>
      </w:pPr>
      <w:bookmarkStart w:id="0" w:name="_GoBack"/>
      <w:bookmarkEnd w:id="0"/>
    </w:p>
    <w:p w:rsidR="001454A6" w:rsidRPr="00E73BCD" w:rsidRDefault="001454A6" w:rsidP="001454A6">
      <w:pPr>
        <w:pStyle w:val="Retraitcorpsdetexte"/>
        <w:numPr>
          <w:ilvl w:val="0"/>
          <w:numId w:val="14"/>
        </w:numPr>
        <w:spacing w:after="0" w:line="240" w:lineRule="auto"/>
        <w:jc w:val="both"/>
        <w:rPr>
          <w:rFonts w:asciiTheme="minorHAnsi" w:hAnsiTheme="minorHAnsi" w:cstheme="minorHAnsi"/>
          <w:b/>
        </w:rPr>
      </w:pPr>
      <w:r w:rsidRPr="00E73BCD">
        <w:rPr>
          <w:rFonts w:asciiTheme="minorHAnsi" w:hAnsiTheme="minorHAnsi" w:cstheme="minorHAnsi"/>
          <w:b/>
          <w:lang w:eastAsia="fr-FR"/>
        </w:rPr>
        <w:t>D’AUTORISER</w:t>
      </w:r>
      <w:r w:rsidRPr="00E73BCD">
        <w:rPr>
          <w:rFonts w:asciiTheme="minorHAnsi" w:hAnsiTheme="minorHAnsi" w:cstheme="minorHAnsi"/>
          <w:b/>
        </w:rPr>
        <w:t xml:space="preserve"> </w:t>
      </w:r>
      <w:r w:rsidRPr="00E73BCD">
        <w:rPr>
          <w:rFonts w:asciiTheme="minorHAnsi" w:hAnsiTheme="minorHAnsi" w:cstheme="minorHAnsi"/>
          <w:lang w:eastAsia="fr-FR"/>
        </w:rPr>
        <w:t>Monsieur le Président à signer toutes les pièces rel</w:t>
      </w:r>
      <w:r w:rsidR="00F32431">
        <w:rPr>
          <w:rFonts w:asciiTheme="minorHAnsi" w:hAnsiTheme="minorHAnsi" w:cstheme="minorHAnsi"/>
          <w:lang w:eastAsia="fr-FR"/>
        </w:rPr>
        <w:t>atives à la mise en œuvre de cette décision</w:t>
      </w:r>
    </w:p>
    <w:tbl>
      <w:tblPr>
        <w:tblW w:w="0" w:type="auto"/>
        <w:tblLook w:val="01E0" w:firstRow="1" w:lastRow="1" w:firstColumn="1" w:lastColumn="1" w:noHBand="0" w:noVBand="0"/>
      </w:tblPr>
      <w:tblGrid>
        <w:gridCol w:w="3528"/>
        <w:gridCol w:w="4370"/>
      </w:tblGrid>
      <w:tr w:rsidR="001454A6" w:rsidRPr="008264B3" w:rsidTr="00E326B9">
        <w:tc>
          <w:tcPr>
            <w:tcW w:w="3528" w:type="dxa"/>
          </w:tcPr>
          <w:p w:rsidR="001454A6" w:rsidRPr="008264B3" w:rsidRDefault="001454A6" w:rsidP="001454A6">
            <w:pPr>
              <w:spacing w:after="160" w:line="259" w:lineRule="auto"/>
            </w:pPr>
          </w:p>
        </w:tc>
        <w:tc>
          <w:tcPr>
            <w:tcW w:w="4370" w:type="dxa"/>
          </w:tcPr>
          <w:p w:rsidR="001454A6" w:rsidRPr="008264B3" w:rsidRDefault="001454A6" w:rsidP="00E326B9">
            <w:pPr>
              <w:spacing w:after="0"/>
            </w:pPr>
          </w:p>
        </w:tc>
      </w:tr>
    </w:tbl>
    <w:p w:rsidR="001454A6" w:rsidRPr="008264B3" w:rsidRDefault="001454A6" w:rsidP="001454A6">
      <w:pPr>
        <w:spacing w:after="0"/>
      </w:pPr>
    </w:p>
    <w:p w:rsidR="001454A6" w:rsidRDefault="001454A6" w:rsidP="00037D03">
      <w:pPr>
        <w:jc w:val="both"/>
        <w:rPr>
          <w:rFonts w:asciiTheme="minorHAnsi" w:hAnsiTheme="minorHAnsi" w:cs="Calibri"/>
          <w:b/>
          <w:sz w:val="28"/>
          <w:u w:val="single"/>
        </w:rPr>
      </w:pPr>
    </w:p>
    <w:sectPr w:rsidR="001454A6" w:rsidSect="006242BA">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313"/>
    <w:multiLevelType w:val="hybridMultilevel"/>
    <w:tmpl w:val="200A8C0A"/>
    <w:lvl w:ilvl="0" w:tplc="D22C6AC2">
      <w:start w:val="6"/>
      <w:numFmt w:val="decimal"/>
      <w:lvlText w:val="%1"/>
      <w:lvlJc w:val="left"/>
      <w:pPr>
        <w:ind w:left="720" w:hanging="360"/>
      </w:pPr>
      <w:rPr>
        <w:rFonts w:eastAsia="Calibri" w:cstheme="min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7B7DB1"/>
    <w:multiLevelType w:val="hybridMultilevel"/>
    <w:tmpl w:val="86AA8812"/>
    <w:lvl w:ilvl="0" w:tplc="B3903B8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06F15"/>
    <w:multiLevelType w:val="hybridMultilevel"/>
    <w:tmpl w:val="01CA1CC0"/>
    <w:lvl w:ilvl="0" w:tplc="29D2C8E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7565E"/>
    <w:multiLevelType w:val="hybridMultilevel"/>
    <w:tmpl w:val="945E6984"/>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4C04F5"/>
    <w:multiLevelType w:val="hybridMultilevel"/>
    <w:tmpl w:val="8F8EE7F6"/>
    <w:lvl w:ilvl="0" w:tplc="B3903B8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537710D"/>
    <w:multiLevelType w:val="hybridMultilevel"/>
    <w:tmpl w:val="BFFA8F00"/>
    <w:lvl w:ilvl="0" w:tplc="B3903B80">
      <w:start w:val="1"/>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096619"/>
    <w:multiLevelType w:val="hybridMultilevel"/>
    <w:tmpl w:val="673E19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6C5C5D"/>
    <w:multiLevelType w:val="hybridMultilevel"/>
    <w:tmpl w:val="674C604C"/>
    <w:lvl w:ilvl="0" w:tplc="B3903B8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B55E46"/>
    <w:multiLevelType w:val="hybridMultilevel"/>
    <w:tmpl w:val="1AEA0AAA"/>
    <w:lvl w:ilvl="0" w:tplc="08502A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5CA7421"/>
    <w:multiLevelType w:val="hybridMultilevel"/>
    <w:tmpl w:val="E99CCBFC"/>
    <w:lvl w:ilvl="0" w:tplc="1138D33A">
      <w:start w:val="4"/>
      <w:numFmt w:val="bullet"/>
      <w:lvlText w:val="-"/>
      <w:lvlJc w:val="left"/>
      <w:pPr>
        <w:ind w:left="720" w:hanging="360"/>
      </w:pPr>
      <w:rPr>
        <w:rFonts w:ascii="Verdana" w:eastAsia="Times New Roman" w:hAnsi="Verdana" w:cs="Arial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92117ED"/>
    <w:multiLevelType w:val="multilevel"/>
    <w:tmpl w:val="499432D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A704090"/>
    <w:multiLevelType w:val="hybridMultilevel"/>
    <w:tmpl w:val="790C4D5E"/>
    <w:lvl w:ilvl="0" w:tplc="98CA1434">
      <w:start w:val="5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347940"/>
    <w:multiLevelType w:val="hybridMultilevel"/>
    <w:tmpl w:val="B45EED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180081C"/>
    <w:multiLevelType w:val="multilevel"/>
    <w:tmpl w:val="8034AAE8"/>
    <w:lvl w:ilvl="0">
      <w:start w:val="3"/>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8B8025E"/>
    <w:multiLevelType w:val="hybridMultilevel"/>
    <w:tmpl w:val="E1AAE3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BD6262D"/>
    <w:multiLevelType w:val="multilevel"/>
    <w:tmpl w:val="AA7AAD98"/>
    <w:lvl w:ilvl="0">
      <w:start w:val="5"/>
      <w:numFmt w:val="decimal"/>
      <w:lvlText w:val="%1-"/>
      <w:lvlJc w:val="left"/>
      <w:pPr>
        <w:ind w:left="390" w:hanging="390"/>
      </w:pPr>
      <w:rPr>
        <w:rFonts w:hint="default"/>
        <w:u w:val="single"/>
      </w:rPr>
    </w:lvl>
    <w:lvl w:ilvl="1">
      <w:start w:val="2"/>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num w:numId="1">
    <w:abstractNumId w:val="5"/>
  </w:num>
  <w:num w:numId="2">
    <w:abstractNumId w:val="7"/>
  </w:num>
  <w:num w:numId="3">
    <w:abstractNumId w:val="14"/>
  </w:num>
  <w:num w:numId="4">
    <w:abstractNumId w:val="11"/>
  </w:num>
  <w:num w:numId="5">
    <w:abstractNumId w:val="4"/>
  </w:num>
  <w:num w:numId="6">
    <w:abstractNumId w:val="6"/>
  </w:num>
  <w:num w:numId="7">
    <w:abstractNumId w:val="12"/>
  </w:num>
  <w:num w:numId="8">
    <w:abstractNumId w:val="9"/>
  </w:num>
  <w:num w:numId="9">
    <w:abstractNumId w:val="15"/>
  </w:num>
  <w:num w:numId="10">
    <w:abstractNumId w:val="17"/>
  </w:num>
  <w:num w:numId="11">
    <w:abstractNumId w:val="3"/>
  </w:num>
  <w:num w:numId="12">
    <w:abstractNumId w:val="16"/>
  </w:num>
  <w:num w:numId="13">
    <w:abstractNumId w:val="1"/>
  </w:num>
  <w:num w:numId="14">
    <w:abstractNumId w:val="10"/>
  </w:num>
  <w:num w:numId="15">
    <w:abstractNumId w:val="13"/>
  </w:num>
  <w:num w:numId="16">
    <w:abstractNumId w:val="8"/>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F2"/>
    <w:rsid w:val="00037D03"/>
    <w:rsid w:val="001213CA"/>
    <w:rsid w:val="00136494"/>
    <w:rsid w:val="001454A6"/>
    <w:rsid w:val="0029383B"/>
    <w:rsid w:val="002A39DB"/>
    <w:rsid w:val="002B5271"/>
    <w:rsid w:val="004D591F"/>
    <w:rsid w:val="00572355"/>
    <w:rsid w:val="005770C8"/>
    <w:rsid w:val="00577686"/>
    <w:rsid w:val="006242BA"/>
    <w:rsid w:val="00673F8F"/>
    <w:rsid w:val="007F34B6"/>
    <w:rsid w:val="00857D53"/>
    <w:rsid w:val="008C7D54"/>
    <w:rsid w:val="008F0032"/>
    <w:rsid w:val="00923930"/>
    <w:rsid w:val="00BE18C8"/>
    <w:rsid w:val="00C215E1"/>
    <w:rsid w:val="00C73C91"/>
    <w:rsid w:val="00DA5119"/>
    <w:rsid w:val="00E21ABB"/>
    <w:rsid w:val="00E33AF2"/>
    <w:rsid w:val="00F32431"/>
    <w:rsid w:val="00F777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237F"/>
  <w15:chartTrackingRefBased/>
  <w15:docId w15:val="{101EFAC1-5BBD-401B-8305-46D8AD13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D0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mniPage3">
    <w:name w:val="OmniPage #3"/>
    <w:basedOn w:val="Normal"/>
    <w:rsid w:val="00037D03"/>
    <w:pPr>
      <w:spacing w:after="0" w:line="240" w:lineRule="auto"/>
    </w:pPr>
    <w:rPr>
      <w:rFonts w:ascii="Times New Roman" w:eastAsia="Times New Roman" w:hAnsi="Times New Roman"/>
      <w:sz w:val="20"/>
      <w:szCs w:val="20"/>
      <w:lang w:val="en-US" w:eastAsia="fr-FR"/>
    </w:rPr>
  </w:style>
  <w:style w:type="paragraph" w:customStyle="1" w:styleId="Modle-Introduction">
    <w:name w:val="Modèle - Introduction"/>
    <w:qFormat/>
    <w:rsid w:val="00C215E1"/>
    <w:pPr>
      <w:spacing w:before="360" w:after="0" w:line="240" w:lineRule="auto"/>
    </w:pPr>
    <w:rPr>
      <w:rFonts w:ascii="Calibri" w:eastAsiaTheme="minorEastAsia" w:hAnsi="Calibri" w:cstheme="majorHAnsi"/>
      <w:i/>
      <w:szCs w:val="24"/>
      <w:lang w:eastAsia="fr-FR"/>
    </w:rPr>
  </w:style>
  <w:style w:type="paragraph" w:styleId="Paragraphedeliste">
    <w:name w:val="List Paragraph"/>
    <w:basedOn w:val="Normal"/>
    <w:link w:val="ParagraphedelisteCar"/>
    <w:uiPriority w:val="34"/>
    <w:qFormat/>
    <w:rsid w:val="00C215E1"/>
    <w:pPr>
      <w:numPr>
        <w:numId w:val="1"/>
      </w:numPr>
      <w:spacing w:after="0" w:line="288" w:lineRule="auto"/>
      <w:contextualSpacing/>
    </w:pPr>
    <w:rPr>
      <w:rFonts w:ascii="Arial" w:eastAsiaTheme="minorEastAsia" w:hAnsi="Arial" w:cstheme="minorBidi"/>
      <w:sz w:val="20"/>
      <w:szCs w:val="24"/>
      <w:lang w:eastAsia="fr-FR"/>
    </w:rPr>
  </w:style>
  <w:style w:type="paragraph" w:customStyle="1" w:styleId="VuConsidrant">
    <w:name w:val="Vu.Considérant"/>
    <w:basedOn w:val="Normal"/>
    <w:rsid w:val="00C215E1"/>
    <w:pPr>
      <w:autoSpaceDE w:val="0"/>
      <w:autoSpaceDN w:val="0"/>
      <w:spacing w:after="140" w:line="240" w:lineRule="auto"/>
      <w:jc w:val="both"/>
    </w:pPr>
    <w:rPr>
      <w:rFonts w:ascii="Arial" w:eastAsia="Times New Roman" w:hAnsi="Arial" w:cs="Arial"/>
      <w:sz w:val="20"/>
      <w:szCs w:val="20"/>
      <w:lang w:eastAsia="fr-FR"/>
    </w:rPr>
  </w:style>
  <w:style w:type="paragraph" w:styleId="Signature">
    <w:name w:val="Signature"/>
    <w:basedOn w:val="Normal"/>
    <w:link w:val="SignatureCar"/>
    <w:semiHidden/>
    <w:rsid w:val="00C215E1"/>
    <w:pPr>
      <w:tabs>
        <w:tab w:val="right" w:pos="6663"/>
        <w:tab w:val="right" w:pos="9923"/>
      </w:tabs>
      <w:autoSpaceDE w:val="0"/>
      <w:autoSpaceDN w:val="0"/>
      <w:spacing w:after="0" w:line="240" w:lineRule="auto"/>
      <w:ind w:left="4252"/>
      <w:jc w:val="center"/>
    </w:pPr>
    <w:rPr>
      <w:rFonts w:ascii="Arial" w:eastAsia="Times New Roman" w:hAnsi="Arial"/>
      <w:sz w:val="20"/>
      <w:szCs w:val="20"/>
      <w:lang w:eastAsia="fr-FR"/>
    </w:rPr>
  </w:style>
  <w:style w:type="character" w:customStyle="1" w:styleId="SignatureCar">
    <w:name w:val="Signature Car"/>
    <w:basedOn w:val="Policepardfaut"/>
    <w:link w:val="Signature"/>
    <w:semiHidden/>
    <w:rsid w:val="00C215E1"/>
    <w:rPr>
      <w:rFonts w:ascii="Arial" w:eastAsia="Times New Roman" w:hAnsi="Arial" w:cs="Times New Roman"/>
      <w:sz w:val="20"/>
      <w:szCs w:val="20"/>
      <w:lang w:eastAsia="fr-FR"/>
    </w:rPr>
  </w:style>
  <w:style w:type="paragraph" w:customStyle="1" w:styleId="notifi">
    <w:name w:val="notifié à"/>
    <w:basedOn w:val="Normal"/>
    <w:rsid w:val="00C215E1"/>
    <w:pPr>
      <w:autoSpaceDE w:val="0"/>
      <w:autoSpaceDN w:val="0"/>
      <w:spacing w:after="0" w:line="240" w:lineRule="auto"/>
      <w:ind w:left="567"/>
      <w:jc w:val="both"/>
    </w:pPr>
    <w:rPr>
      <w:rFonts w:ascii="Arial" w:eastAsia="Times New Roman" w:hAnsi="Arial" w:cs="Arial"/>
      <w:b/>
      <w:bCs/>
      <w:sz w:val="20"/>
      <w:szCs w:val="20"/>
      <w:lang w:eastAsia="fr-FR"/>
    </w:rPr>
  </w:style>
  <w:style w:type="paragraph" w:customStyle="1" w:styleId="TiretVuConsidrant">
    <w:name w:val="Tiret Vu.Considérant"/>
    <w:basedOn w:val="VuConsidrant"/>
    <w:rsid w:val="00C215E1"/>
    <w:pPr>
      <w:ind w:left="284" w:hanging="284"/>
    </w:pPr>
  </w:style>
  <w:style w:type="character" w:customStyle="1" w:styleId="ParagraphedelisteCar">
    <w:name w:val="Paragraphe de liste Car"/>
    <w:link w:val="Paragraphedeliste"/>
    <w:uiPriority w:val="34"/>
    <w:locked/>
    <w:rsid w:val="001454A6"/>
    <w:rPr>
      <w:rFonts w:ascii="Arial" w:eastAsiaTheme="minorEastAsia" w:hAnsi="Arial"/>
      <w:sz w:val="20"/>
      <w:szCs w:val="24"/>
      <w:lang w:eastAsia="fr-FR"/>
    </w:rPr>
  </w:style>
  <w:style w:type="paragraph" w:styleId="Retraitcorpsdetexte">
    <w:name w:val="Body Text Indent"/>
    <w:basedOn w:val="Normal"/>
    <w:link w:val="RetraitcorpsdetexteCar"/>
    <w:uiPriority w:val="99"/>
    <w:unhideWhenUsed/>
    <w:rsid w:val="001454A6"/>
    <w:pPr>
      <w:spacing w:after="120"/>
      <w:ind w:left="283"/>
    </w:pPr>
  </w:style>
  <w:style w:type="character" w:customStyle="1" w:styleId="RetraitcorpsdetexteCar">
    <w:name w:val="Retrait corps de texte Car"/>
    <w:basedOn w:val="Policepardfaut"/>
    <w:link w:val="Retraitcorpsdetexte"/>
    <w:uiPriority w:val="99"/>
    <w:rsid w:val="001454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80582">
      <w:bodyDiv w:val="1"/>
      <w:marLeft w:val="0"/>
      <w:marRight w:val="0"/>
      <w:marTop w:val="0"/>
      <w:marBottom w:val="0"/>
      <w:divBdr>
        <w:top w:val="none" w:sz="0" w:space="0" w:color="auto"/>
        <w:left w:val="none" w:sz="0" w:space="0" w:color="auto"/>
        <w:bottom w:val="none" w:sz="0" w:space="0" w:color="auto"/>
        <w:right w:val="none" w:sz="0" w:space="0" w:color="auto"/>
      </w:divBdr>
    </w:div>
    <w:div w:id="1036740605">
      <w:bodyDiv w:val="1"/>
      <w:marLeft w:val="0"/>
      <w:marRight w:val="0"/>
      <w:marTop w:val="0"/>
      <w:marBottom w:val="0"/>
      <w:divBdr>
        <w:top w:val="none" w:sz="0" w:space="0" w:color="auto"/>
        <w:left w:val="none" w:sz="0" w:space="0" w:color="auto"/>
        <w:bottom w:val="none" w:sz="0" w:space="0" w:color="auto"/>
        <w:right w:val="none" w:sz="0" w:space="0" w:color="auto"/>
      </w:divBdr>
    </w:div>
    <w:div w:id="17048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jorf/id/JORFTEXT0000378661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loda/article_lc/LEGIARTI000042913726" TargetMode="External"/><Relationship Id="rId5" Type="http://schemas.openxmlformats.org/officeDocument/2006/relationships/hyperlink" Target="https://www.legifrance.gouv.fr/codes/article_lc/LEGIARTI0000063898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599</Words>
  <Characters>3300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Anne-Claire RENARD</dc:creator>
  <cp:keywords/>
  <dc:description/>
  <cp:lastModifiedBy>Audrey Belpeuch</cp:lastModifiedBy>
  <cp:revision>5</cp:revision>
  <dcterms:created xsi:type="dcterms:W3CDTF">2023-10-11T07:50:00Z</dcterms:created>
  <dcterms:modified xsi:type="dcterms:W3CDTF">2023-10-11T08:27:00Z</dcterms:modified>
</cp:coreProperties>
</file>